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352" w:rsidRPr="006F2A5C" w:rsidRDefault="00C82316" w:rsidP="00C82316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6F2A5C">
        <w:rPr>
          <w:rFonts w:ascii="Times New Roman" w:hAnsi="Times New Roman"/>
          <w:b/>
          <w:color w:val="000000"/>
          <w:sz w:val="28"/>
          <w:szCs w:val="28"/>
        </w:rPr>
        <w:t>Capitolato Tecnico generale</w:t>
      </w:r>
      <w:r w:rsidR="008405DD">
        <w:rPr>
          <w:rFonts w:ascii="Times New Roman" w:hAnsi="Times New Roman"/>
          <w:b/>
          <w:color w:val="000000"/>
          <w:sz w:val="28"/>
          <w:szCs w:val="28"/>
        </w:rPr>
        <w:t xml:space="preserve"> lotto 1</w:t>
      </w:r>
    </w:p>
    <w:p w:rsidR="00E53BBE" w:rsidRDefault="00E53BBE" w:rsidP="00C82316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53BBE" w:rsidRPr="006F2A5C" w:rsidRDefault="00E53BBE" w:rsidP="00783D49">
      <w:pPr>
        <w:jc w:val="both"/>
        <w:rPr>
          <w:b/>
          <w:sz w:val="24"/>
          <w:szCs w:val="24"/>
        </w:rPr>
      </w:pPr>
      <w:r w:rsidRPr="006F2A5C">
        <w:rPr>
          <w:b/>
          <w:sz w:val="24"/>
          <w:szCs w:val="24"/>
        </w:rPr>
        <w:t>1 PREMESSA</w:t>
      </w:r>
    </w:p>
    <w:p w:rsidR="00E53BBE" w:rsidRPr="006F2A5C" w:rsidRDefault="00E53BBE" w:rsidP="00783D49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Il presente Capitolato disciplina gli aspetti tecnici e organizzativi relativi alla fornitura</w:t>
      </w:r>
      <w:r w:rsidR="004B52AD" w:rsidRPr="004B52AD">
        <w:rPr>
          <w:sz w:val="20"/>
          <w:szCs w:val="20"/>
        </w:rPr>
        <w:t xml:space="preserve"> per un periodo di anni uno (con ulterior</w:t>
      </w:r>
      <w:r w:rsidR="004B52AD">
        <w:rPr>
          <w:sz w:val="20"/>
          <w:szCs w:val="20"/>
        </w:rPr>
        <w:t>e proroga annuale</w:t>
      </w:r>
      <w:r w:rsidR="004B52AD" w:rsidRPr="004B52AD">
        <w:rPr>
          <w:sz w:val="20"/>
          <w:szCs w:val="20"/>
        </w:rPr>
        <w:t>) di</w:t>
      </w:r>
      <w:r w:rsidR="009A0A09">
        <w:rPr>
          <w:sz w:val="20"/>
          <w:szCs w:val="20"/>
        </w:rPr>
        <w:t xml:space="preserve"> un sistema analitico (anche </w:t>
      </w:r>
      <w:r w:rsidR="00B1458F" w:rsidRPr="00B1458F">
        <w:rPr>
          <w:sz w:val="20"/>
          <w:szCs w:val="20"/>
        </w:rPr>
        <w:t>POCT)</w:t>
      </w:r>
      <w:r w:rsidR="00B1458F">
        <w:rPr>
          <w:sz w:val="20"/>
          <w:szCs w:val="20"/>
        </w:rPr>
        <w:t xml:space="preserve"> </w:t>
      </w:r>
      <w:r w:rsidR="00B1458F" w:rsidRPr="00B1458F">
        <w:rPr>
          <w:sz w:val="20"/>
          <w:szCs w:val="20"/>
        </w:rPr>
        <w:t>in “service” completamente automatico per la ricerca di antigene di SARS CoV 2 mediante metodica immu</w:t>
      </w:r>
      <w:r w:rsidR="00B1458F">
        <w:rPr>
          <w:sz w:val="20"/>
          <w:szCs w:val="20"/>
        </w:rPr>
        <w:t xml:space="preserve">nofluorescenza ed equivalenti </w:t>
      </w:r>
      <w:r w:rsidR="00B1458F" w:rsidRPr="00B1458F">
        <w:rPr>
          <w:sz w:val="20"/>
          <w:szCs w:val="20"/>
        </w:rPr>
        <w:t>per le per necessità delle ASL della Regione Abruzzo</w:t>
      </w:r>
      <w:r w:rsidR="00783D49" w:rsidRPr="006F2A5C">
        <w:rPr>
          <w:sz w:val="20"/>
          <w:szCs w:val="20"/>
        </w:rPr>
        <w:t>.</w:t>
      </w:r>
    </w:p>
    <w:p w:rsidR="009E6552" w:rsidRPr="006F2A5C" w:rsidRDefault="009E6552" w:rsidP="009E6552">
      <w:pPr>
        <w:jc w:val="both"/>
        <w:rPr>
          <w:b/>
          <w:sz w:val="24"/>
          <w:szCs w:val="24"/>
        </w:rPr>
      </w:pPr>
      <w:r w:rsidRPr="006F2A5C">
        <w:rPr>
          <w:b/>
          <w:sz w:val="24"/>
          <w:szCs w:val="24"/>
        </w:rPr>
        <w:t>2 OGGETTO DELL’APPALTO</w:t>
      </w:r>
    </w:p>
    <w:p w:rsidR="009E6552" w:rsidRDefault="009E6552" w:rsidP="009E6552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 xml:space="preserve">L’importo complessivo presunto dell’intera fornitura oggetto del presente documento è pari ad € </w:t>
      </w:r>
      <w:r w:rsidR="00B1458F">
        <w:rPr>
          <w:sz w:val="20"/>
          <w:szCs w:val="20"/>
        </w:rPr>
        <w:t>6</w:t>
      </w:r>
      <w:r w:rsidRPr="006F2A5C">
        <w:rPr>
          <w:sz w:val="20"/>
          <w:szCs w:val="20"/>
        </w:rPr>
        <w:t>.</w:t>
      </w:r>
      <w:r w:rsidR="00B1458F">
        <w:rPr>
          <w:sz w:val="20"/>
          <w:szCs w:val="20"/>
        </w:rPr>
        <w:t>570</w:t>
      </w:r>
      <w:r w:rsidRPr="006F2A5C">
        <w:rPr>
          <w:sz w:val="20"/>
          <w:szCs w:val="20"/>
        </w:rPr>
        <w:t>.000,00.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1"/>
        <w:gridCol w:w="2245"/>
        <w:gridCol w:w="2758"/>
      </w:tblGrid>
      <w:tr w:rsidR="00622BE4" w:rsidRPr="00622BE4" w:rsidTr="007B54A8">
        <w:tc>
          <w:tcPr>
            <w:tcW w:w="4851" w:type="dxa"/>
            <w:shd w:val="clear" w:color="auto" w:fill="auto"/>
          </w:tcPr>
          <w:p w:rsidR="00622BE4" w:rsidRPr="00622BE4" w:rsidRDefault="00622BE4" w:rsidP="00622BE4">
            <w:pPr>
              <w:jc w:val="center"/>
              <w:rPr>
                <w:b/>
                <w:sz w:val="20"/>
                <w:szCs w:val="20"/>
              </w:rPr>
            </w:pPr>
            <w:r w:rsidRPr="00622BE4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245" w:type="dxa"/>
          </w:tcPr>
          <w:p w:rsidR="00622BE4" w:rsidRPr="00622BE4" w:rsidRDefault="00622BE4" w:rsidP="00622B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Importo a base d’asta per Test</w:t>
            </w:r>
          </w:p>
          <w:p w:rsidR="00622BE4" w:rsidRPr="00622BE4" w:rsidRDefault="00622BE4" w:rsidP="00622BE4">
            <w:pPr>
              <w:jc w:val="center"/>
              <w:rPr>
                <w:b/>
                <w:sz w:val="20"/>
                <w:szCs w:val="20"/>
              </w:rPr>
            </w:pPr>
            <w:r w:rsidRPr="00622BE4">
              <w:rPr>
                <w:b/>
                <w:sz w:val="20"/>
                <w:szCs w:val="20"/>
              </w:rPr>
              <w:t>(IVA esclusa)</w:t>
            </w:r>
          </w:p>
          <w:p w:rsidR="00622BE4" w:rsidRPr="00622BE4" w:rsidRDefault="00622BE4" w:rsidP="00622B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8" w:type="dxa"/>
            <w:shd w:val="clear" w:color="auto" w:fill="auto"/>
          </w:tcPr>
          <w:p w:rsidR="00622BE4" w:rsidRPr="00622BE4" w:rsidRDefault="00622BE4" w:rsidP="00622BE4">
            <w:pPr>
              <w:jc w:val="center"/>
              <w:rPr>
                <w:b/>
                <w:sz w:val="20"/>
                <w:szCs w:val="20"/>
              </w:rPr>
            </w:pPr>
            <w:r w:rsidRPr="00622BE4">
              <w:rPr>
                <w:b/>
                <w:sz w:val="20"/>
                <w:szCs w:val="20"/>
              </w:rPr>
              <w:t>Consumo/anno</w:t>
            </w:r>
          </w:p>
          <w:p w:rsidR="00622BE4" w:rsidRPr="00622BE4" w:rsidRDefault="00622BE4" w:rsidP="00622BE4">
            <w:pPr>
              <w:jc w:val="center"/>
              <w:rPr>
                <w:b/>
                <w:sz w:val="20"/>
                <w:szCs w:val="20"/>
              </w:rPr>
            </w:pPr>
            <w:r w:rsidRPr="00622BE4">
              <w:rPr>
                <w:b/>
                <w:sz w:val="20"/>
                <w:szCs w:val="20"/>
              </w:rPr>
              <w:t>test</w:t>
            </w:r>
          </w:p>
        </w:tc>
      </w:tr>
      <w:tr w:rsidR="00622BE4" w:rsidRPr="00622BE4" w:rsidTr="007B54A8">
        <w:tc>
          <w:tcPr>
            <w:tcW w:w="4851" w:type="dxa"/>
            <w:shd w:val="clear" w:color="auto" w:fill="auto"/>
          </w:tcPr>
          <w:p w:rsidR="00622BE4" w:rsidRPr="00622BE4" w:rsidRDefault="00B1458F" w:rsidP="00622BE4">
            <w:pPr>
              <w:jc w:val="both"/>
              <w:rPr>
                <w:sz w:val="20"/>
                <w:szCs w:val="20"/>
              </w:rPr>
            </w:pPr>
            <w:r w:rsidRPr="00B1458F">
              <w:rPr>
                <w:sz w:val="20"/>
                <w:szCs w:val="20"/>
              </w:rPr>
              <w:t>Ricerca antigene di SARS CoV 2 mediante metodiche in immunofluorescenza  o equivalenti</w:t>
            </w:r>
          </w:p>
        </w:tc>
        <w:tc>
          <w:tcPr>
            <w:tcW w:w="2245" w:type="dxa"/>
          </w:tcPr>
          <w:p w:rsidR="00622BE4" w:rsidRPr="00622BE4" w:rsidRDefault="00B1458F" w:rsidP="00622B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622BE4" w:rsidRPr="00622BE4">
              <w:rPr>
                <w:sz w:val="20"/>
                <w:szCs w:val="20"/>
              </w:rPr>
              <w:t xml:space="preserve"> Euro</w:t>
            </w:r>
          </w:p>
        </w:tc>
        <w:tc>
          <w:tcPr>
            <w:tcW w:w="2758" w:type="dxa"/>
            <w:shd w:val="clear" w:color="auto" w:fill="auto"/>
          </w:tcPr>
          <w:p w:rsidR="00622BE4" w:rsidRPr="00622BE4" w:rsidRDefault="00622BE4" w:rsidP="00622BE4">
            <w:pPr>
              <w:jc w:val="both"/>
              <w:rPr>
                <w:sz w:val="20"/>
                <w:szCs w:val="20"/>
              </w:rPr>
            </w:pPr>
            <w:r w:rsidRPr="00622BE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622BE4">
              <w:rPr>
                <w:sz w:val="20"/>
                <w:szCs w:val="20"/>
              </w:rPr>
              <w:t xml:space="preserve">0 test/die per ciascuna ASL </w:t>
            </w:r>
          </w:p>
          <w:p w:rsidR="00622BE4" w:rsidRPr="00622BE4" w:rsidRDefault="00622BE4" w:rsidP="00622B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622BE4">
              <w:rPr>
                <w:sz w:val="20"/>
                <w:szCs w:val="20"/>
              </w:rPr>
              <w:t xml:space="preserve">0 test/die per 365 giorni = </w:t>
            </w:r>
            <w:r>
              <w:rPr>
                <w:sz w:val="20"/>
                <w:szCs w:val="20"/>
              </w:rPr>
              <w:t>365</w:t>
            </w:r>
            <w:r w:rsidRPr="00622BE4">
              <w:rPr>
                <w:sz w:val="20"/>
                <w:szCs w:val="20"/>
              </w:rPr>
              <w:t>.000</w:t>
            </w:r>
          </w:p>
        </w:tc>
      </w:tr>
    </w:tbl>
    <w:p w:rsidR="00622BE4" w:rsidRPr="00E74A05" w:rsidRDefault="00B1458F" w:rsidP="009E6552">
      <w:pPr>
        <w:jc w:val="both"/>
        <w:rPr>
          <w:b/>
          <w:sz w:val="20"/>
          <w:szCs w:val="20"/>
        </w:rPr>
      </w:pPr>
      <w:r w:rsidRPr="00E74A05">
        <w:rPr>
          <w:b/>
          <w:sz w:val="20"/>
          <w:szCs w:val="20"/>
        </w:rPr>
        <w:t xml:space="preserve">Dovrà essere fornita la strumentazione necessaria per allestire 8 “postazioni” </w:t>
      </w:r>
      <w:r w:rsidR="00C935BB">
        <w:rPr>
          <w:b/>
          <w:sz w:val="20"/>
          <w:szCs w:val="20"/>
        </w:rPr>
        <w:t>per ognuna del</w:t>
      </w:r>
      <w:r w:rsidRPr="00E74A05">
        <w:rPr>
          <w:b/>
          <w:sz w:val="20"/>
          <w:szCs w:val="20"/>
        </w:rPr>
        <w:t>le 4 ASL, in grado di effettuare 12 test per ora</w:t>
      </w:r>
      <w:r w:rsidR="00C935BB">
        <w:rPr>
          <w:b/>
          <w:sz w:val="20"/>
          <w:szCs w:val="20"/>
        </w:rPr>
        <w:t>, per un totale di 32 postazioni</w:t>
      </w:r>
      <w:r w:rsidRPr="00E74A05">
        <w:rPr>
          <w:b/>
          <w:sz w:val="20"/>
          <w:szCs w:val="20"/>
        </w:rPr>
        <w:t>.</w:t>
      </w:r>
      <w:r w:rsidR="00E74A05">
        <w:rPr>
          <w:b/>
          <w:sz w:val="20"/>
          <w:szCs w:val="20"/>
        </w:rPr>
        <w:t xml:space="preserve"> In sede di offerta economica potrà</w:t>
      </w:r>
      <w:r w:rsidR="00237A1B">
        <w:rPr>
          <w:b/>
          <w:sz w:val="20"/>
          <w:szCs w:val="20"/>
        </w:rPr>
        <w:t>/dovrà</w:t>
      </w:r>
      <w:r w:rsidR="00E74A05">
        <w:rPr>
          <w:b/>
          <w:sz w:val="20"/>
          <w:szCs w:val="20"/>
        </w:rPr>
        <w:t xml:space="preserve"> essere indicato il numero di postazioni che la singola ditta è in grado di allestire/garantire.</w:t>
      </w:r>
    </w:p>
    <w:p w:rsidR="00783D49" w:rsidRDefault="009E6552" w:rsidP="009E6552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Le caratteristiche tecniche minime, così come definite e indicate nel presente Capitolato Tecnico</w:t>
      </w:r>
      <w:r w:rsidR="0032751B" w:rsidRPr="006F2A5C">
        <w:rPr>
          <w:sz w:val="20"/>
          <w:szCs w:val="20"/>
        </w:rPr>
        <w:t xml:space="preserve"> al seguente punto 5</w:t>
      </w:r>
      <w:r w:rsidRPr="006F2A5C">
        <w:rPr>
          <w:sz w:val="20"/>
          <w:szCs w:val="20"/>
        </w:rPr>
        <w:t>, devono essere necessariamente possedute dai dispositivi offerti in gara, a pena di esclusione dalla gara.</w:t>
      </w:r>
    </w:p>
    <w:p w:rsidR="00DF500D" w:rsidRPr="006F2A5C" w:rsidRDefault="00DF500D" w:rsidP="00DF500D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Nel corso di tutta la durata della fornitura, il Fornitore aggiudicatario è obbligato a fornire i medesimi prodotti indicati nell’offerta in sede di gara per quanto attiene la descrizione, alle caratteristiche tecniche, ai nomi commerciali e al codice prodotto. Non sarà pertanto ammessa la sostituzione di prodotti con altri ritenuti dal Fornitore equivalenti con nome commerciale e/o codice prodotto differenti, senza preventiva autorizzazione dell’amministrazione contraente.</w:t>
      </w:r>
    </w:p>
    <w:p w:rsidR="00DF500D" w:rsidRDefault="00DF500D" w:rsidP="00DF500D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 xml:space="preserve">In particolare, l’oggetto dell’Accordo quadro che sarà stipulato con gli aggiudicatari consiste nella fornitura di </w:t>
      </w:r>
      <w:r w:rsidRPr="00E74A05">
        <w:rPr>
          <w:sz w:val="20"/>
          <w:szCs w:val="20"/>
        </w:rPr>
        <w:t>di un sistema analitico (anche  POCT) in “service” completamente automatico per la ricerca di antigene di SARS CoV 2 mediante metodica immunofluorescenza ed equivalenti</w:t>
      </w:r>
      <w:r w:rsidRPr="004B52AD">
        <w:rPr>
          <w:sz w:val="20"/>
          <w:szCs w:val="20"/>
        </w:rPr>
        <w:t xml:space="preserve"> </w:t>
      </w:r>
      <w:r w:rsidRPr="006F2A5C">
        <w:rPr>
          <w:sz w:val="20"/>
          <w:szCs w:val="20"/>
        </w:rPr>
        <w:t>secondo le caratteristiche tecniche stabilite nel presente Capitolato Tecnico al seguente punto 5.</w:t>
      </w:r>
    </w:p>
    <w:p w:rsidR="00DF500D" w:rsidRDefault="00DF500D" w:rsidP="009E6552">
      <w:pPr>
        <w:jc w:val="both"/>
        <w:rPr>
          <w:sz w:val="20"/>
          <w:szCs w:val="20"/>
        </w:rPr>
      </w:pPr>
      <w:r>
        <w:rPr>
          <w:sz w:val="20"/>
          <w:szCs w:val="20"/>
        </w:rPr>
        <w:t>2.1 CRITERI DI AGGIUDICAZIONE</w:t>
      </w:r>
    </w:p>
    <w:p w:rsidR="00924307" w:rsidRDefault="00924307" w:rsidP="009E6552">
      <w:pPr>
        <w:jc w:val="both"/>
        <w:rPr>
          <w:sz w:val="20"/>
          <w:szCs w:val="20"/>
        </w:rPr>
      </w:pPr>
      <w:r w:rsidRPr="00924307">
        <w:rPr>
          <w:sz w:val="20"/>
          <w:szCs w:val="20"/>
        </w:rPr>
        <w:t>L’aggiudicazione avverrà secondo il criterio dell’offerta economicamente più vantaggiosa individuata sulla base del miglior rapporto qualità/prezzo (70/30), ai sensi dell’art. 95, commi 2 e 6, D.lgs. n. 50/2016, il punteggio relativo alla qualità sarà attribuito da una Commissione Giudicatrice, che effettuerà la valutazione e attribuirà i punteggi sulla base dei parametri discrezionali</w:t>
      </w:r>
      <w:r>
        <w:rPr>
          <w:sz w:val="20"/>
          <w:szCs w:val="20"/>
        </w:rPr>
        <w:t xml:space="preserve"> di seguito</w:t>
      </w:r>
      <w:r w:rsidR="006B2C41">
        <w:rPr>
          <w:sz w:val="20"/>
          <w:szCs w:val="20"/>
        </w:rPr>
        <w:t xml:space="preserve"> descritti.</w:t>
      </w:r>
    </w:p>
    <w:p w:rsidR="006B2C41" w:rsidRPr="006B2C41" w:rsidRDefault="00DF500D" w:rsidP="006B2C41">
      <w:pPr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6B2C41" w:rsidRPr="006B2C41">
        <w:rPr>
          <w:sz w:val="20"/>
          <w:szCs w:val="20"/>
        </w:rPr>
        <w:t>l punteggio relativo al prezzo sarà assegnato secondo la: Formula “non lineare interdipendente”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Ci = (Ri/Rmax)^0,3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lastRenderedPageBreak/>
        <w:t>dove: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Ci = coefficiente attribuito al concorrente i-esimo;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Ri = ribasso percentuale dell’offerta del concorrente i-esimo, determinato come specificato nel seguito;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Rmax = ribasso percentuale dell’offerta più conveniente;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0,3 = esponente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Il Ribasso percentuale offerto (R) sarà calcolato mediante la formula R = 1 – P/BA, dove P è il prezzo complessivo offerto, determinato come somma dei prodotti dei prezzi unitari offerti per le relative quantità richieste/stimate di cui alle tabelle del paragrafo 3, e BA è l’Importo totale a base d’asta.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Il Punteggio Economico attribuito a ciascun concorrente è ottenuto come prodotto del coefficiente attribuito secondo quanto sopra specificato per il relativo punteggio massimo (30). I valori così ottenuti saranno arrotondati alla seconda cifra decimale e non sono soggetti a riparametrazione.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La migliore offerta sarà determinata dal punteggio complessivo (Ptotale) più alto, che sarà ottenuto sommando il “Punteggio Tecnico” (PT) ed il “Punteggio Economico” (PE):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P totale = PT + PE.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Si precisa che: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a) tutti i calcoli saranno effettuati sino alla seconda cifra decimale, con arrotondamento,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b) Non sono ammesse, a pena di esclusione dalla gara, offerte pari o in aumento sugli importi dei singoli prodotti posti a base di gara,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c) che la individuazione della soglia di anomalia dell’offerta, di cui all’art. 97, comma 3, del D.Lgs 50/2016, sarà effettuata con riferimento ai punteggi “ante riparametrazione”.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d) Il seggio di gara si riserva di sospendere e/o aggiornare le sedute di ogni fase del procedimento, per consentire l’effettuazione delle previste operazioni di controllo e/o valutazione,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e) Qualora due o più soggetti candidati formulino pari offerta complessiva, saranno entrambi ammessi alla sottoscrizione dell’accordo quadro,</w:t>
      </w:r>
    </w:p>
    <w:p w:rsidR="006B2C41" w:rsidRP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f) L’aggiudicazione potrà avvenire anche in presenza di una sola offerta, purché ritenuta conveniente o idonea in relazione all'oggetto del contratto;</w:t>
      </w:r>
    </w:p>
    <w:p w:rsidR="006B2C41" w:rsidRDefault="006B2C41" w:rsidP="006B2C41">
      <w:pPr>
        <w:jc w:val="both"/>
        <w:rPr>
          <w:sz w:val="20"/>
          <w:szCs w:val="20"/>
        </w:rPr>
      </w:pPr>
      <w:r w:rsidRPr="006B2C41">
        <w:rPr>
          <w:sz w:val="20"/>
          <w:szCs w:val="20"/>
        </w:rPr>
        <w:t>g) Qualora nessuna offerta risulti conveniente o idonea in relazione all’oggetto del contratto, la stazione appaltante si riserva la facoltà di non procedere all’aggiudicazione ai sensi dell’art. 95, comma 12 del Codice.</w:t>
      </w:r>
    </w:p>
    <w:p w:rsidR="002E07B2" w:rsidRPr="006F2A5C" w:rsidRDefault="002E07B2" w:rsidP="002E07B2">
      <w:pPr>
        <w:jc w:val="both"/>
        <w:rPr>
          <w:b/>
          <w:sz w:val="24"/>
          <w:szCs w:val="24"/>
        </w:rPr>
      </w:pPr>
      <w:r w:rsidRPr="006F2A5C">
        <w:rPr>
          <w:b/>
          <w:sz w:val="24"/>
          <w:szCs w:val="24"/>
        </w:rPr>
        <w:t>3 CARATTERISTICHE GENERALI</w:t>
      </w:r>
    </w:p>
    <w:p w:rsidR="002E07B2" w:rsidRPr="006F2A5C" w:rsidRDefault="002E07B2" w:rsidP="002E07B2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I Dm devono</w:t>
      </w:r>
    </w:p>
    <w:p w:rsidR="002E07B2" w:rsidRPr="006F2A5C" w:rsidRDefault="002E07B2" w:rsidP="002E07B2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tener conto delle esigenze ergonomiche o di salute del lavoratore;</w:t>
      </w:r>
    </w:p>
    <w:p w:rsidR="002E07B2" w:rsidRPr="006F2A5C" w:rsidRDefault="002E07B2" w:rsidP="002E07B2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poter essere adattati alle necessità dell’utilizzatore;</w:t>
      </w:r>
    </w:p>
    <w:p w:rsidR="002E07B2" w:rsidRPr="006F2A5C" w:rsidRDefault="002E07B2" w:rsidP="002E07B2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essere impiegati sull’uomo ai fini di diagnosi, prevenzione, controllo, terapia: sono qualificati come Dispositivi Medici (DM) e quindi sottoposti alla Dir. 93/42/CE attuata dal D.lgs. 46/97 e successive modifiche e integrazioni.</w:t>
      </w:r>
    </w:p>
    <w:p w:rsidR="002E07B2" w:rsidRPr="006F2A5C" w:rsidRDefault="002E07B2" w:rsidP="002E07B2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rispondenti al Principio della massima sicurezza tecnicamente fattibile (art.15 D.Lgs.vo 81/2008| art. 2087 codice civile);</w:t>
      </w:r>
    </w:p>
    <w:p w:rsidR="009E6552" w:rsidRPr="006F2A5C" w:rsidRDefault="002E07B2" w:rsidP="002E07B2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lastRenderedPageBreak/>
        <w:t>rispondenti al Principio della rintracc</w:t>
      </w:r>
      <w:r w:rsidR="004E7F23" w:rsidRPr="006F2A5C">
        <w:rPr>
          <w:sz w:val="20"/>
          <w:szCs w:val="20"/>
        </w:rPr>
        <w:t>iabilità nel tempo del prodotto;</w:t>
      </w:r>
    </w:p>
    <w:p w:rsidR="004E7F23" w:rsidRPr="006F2A5C" w:rsidRDefault="004E7F23" w:rsidP="002E07B2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devono rispondere ai seguenti requisiti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9"/>
        <w:gridCol w:w="4799"/>
      </w:tblGrid>
      <w:tr w:rsidR="004E7F23" w:rsidRPr="006F2A5C" w:rsidTr="004E7F23">
        <w:trPr>
          <w:trHeight w:val="283"/>
        </w:trPr>
        <w:tc>
          <w:tcPr>
            <w:tcW w:w="4799" w:type="dxa"/>
          </w:tcPr>
          <w:p w:rsidR="004E7F23" w:rsidRPr="006F2A5C" w:rsidRDefault="004E7F23" w:rsidP="004E7F23">
            <w:pPr>
              <w:jc w:val="both"/>
              <w:rPr>
                <w:sz w:val="20"/>
                <w:szCs w:val="20"/>
              </w:rPr>
            </w:pPr>
            <w:r w:rsidRPr="006F2A5C">
              <w:rPr>
                <w:sz w:val="20"/>
                <w:szCs w:val="20"/>
              </w:rPr>
              <w:t xml:space="preserve">REQUISITI INFORMATIVI </w:t>
            </w:r>
          </w:p>
        </w:tc>
        <w:tc>
          <w:tcPr>
            <w:tcW w:w="4799" w:type="dxa"/>
          </w:tcPr>
          <w:p w:rsidR="004E7F23" w:rsidRPr="006F2A5C" w:rsidRDefault="004E7F23" w:rsidP="004E7F23">
            <w:pPr>
              <w:jc w:val="both"/>
              <w:rPr>
                <w:sz w:val="20"/>
                <w:szCs w:val="20"/>
              </w:rPr>
            </w:pPr>
            <w:r w:rsidRPr="006F2A5C">
              <w:rPr>
                <w:sz w:val="20"/>
                <w:szCs w:val="20"/>
              </w:rPr>
              <w:t xml:space="preserve">Devono essere indicati: i limiti d’uso - il tempo utile prima della scadenza - le istruzioni per l’uso - la corretta manutenzione ed immagazzinamento. </w:t>
            </w:r>
          </w:p>
        </w:tc>
      </w:tr>
      <w:tr w:rsidR="004E7F23" w:rsidRPr="006F2A5C" w:rsidTr="004E7F23">
        <w:trPr>
          <w:trHeight w:val="282"/>
        </w:trPr>
        <w:tc>
          <w:tcPr>
            <w:tcW w:w="4799" w:type="dxa"/>
          </w:tcPr>
          <w:p w:rsidR="004E7F23" w:rsidRPr="006F2A5C" w:rsidRDefault="004E7F23" w:rsidP="004E7F23">
            <w:pPr>
              <w:jc w:val="both"/>
              <w:rPr>
                <w:sz w:val="20"/>
                <w:szCs w:val="20"/>
              </w:rPr>
            </w:pPr>
            <w:r w:rsidRPr="006F2A5C">
              <w:rPr>
                <w:sz w:val="20"/>
                <w:szCs w:val="20"/>
              </w:rPr>
              <w:t xml:space="preserve">REQUISITI DI SICUREZZA </w:t>
            </w:r>
          </w:p>
        </w:tc>
        <w:tc>
          <w:tcPr>
            <w:tcW w:w="4799" w:type="dxa"/>
          </w:tcPr>
          <w:p w:rsidR="004E7F23" w:rsidRPr="006F2A5C" w:rsidRDefault="004E7F23" w:rsidP="004E7F23">
            <w:pPr>
              <w:jc w:val="both"/>
              <w:rPr>
                <w:sz w:val="20"/>
                <w:szCs w:val="20"/>
              </w:rPr>
            </w:pPr>
            <w:r w:rsidRPr="006F2A5C">
              <w:rPr>
                <w:sz w:val="20"/>
                <w:szCs w:val="20"/>
              </w:rPr>
              <w:t xml:space="preserve">Devono essere indicati, come da normativa di riferimento, ad esempio, l’assenza di rischi aggiuntivi - l’innocuità – la solidità - la data di scadenza </w:t>
            </w:r>
          </w:p>
        </w:tc>
      </w:tr>
      <w:tr w:rsidR="004E7F23" w:rsidRPr="006F2A5C" w:rsidTr="004E7F23">
        <w:trPr>
          <w:trHeight w:val="282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23" w:rsidRPr="006F2A5C" w:rsidRDefault="004E7F23" w:rsidP="004E7F23">
            <w:pPr>
              <w:jc w:val="both"/>
              <w:rPr>
                <w:sz w:val="20"/>
                <w:szCs w:val="20"/>
              </w:rPr>
            </w:pPr>
            <w:r w:rsidRPr="006F2A5C">
              <w:rPr>
                <w:sz w:val="20"/>
                <w:szCs w:val="20"/>
              </w:rPr>
              <w:t>REQUISITI PRESTAZIONALI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23" w:rsidRPr="006F2A5C" w:rsidRDefault="004E7F23" w:rsidP="004E7F23">
            <w:pPr>
              <w:jc w:val="both"/>
              <w:rPr>
                <w:sz w:val="20"/>
                <w:szCs w:val="20"/>
              </w:rPr>
            </w:pPr>
            <w:r w:rsidRPr="006F2A5C">
              <w:rPr>
                <w:sz w:val="20"/>
                <w:szCs w:val="20"/>
              </w:rPr>
              <w:t>idonei all’uso specifico in ambito sanitario.</w:t>
            </w:r>
          </w:p>
        </w:tc>
      </w:tr>
    </w:tbl>
    <w:p w:rsidR="004E7F23" w:rsidRPr="006F2A5C" w:rsidRDefault="004E7F23" w:rsidP="004E7F23">
      <w:pPr>
        <w:jc w:val="both"/>
        <w:rPr>
          <w:b/>
          <w:sz w:val="20"/>
          <w:szCs w:val="20"/>
        </w:rPr>
      </w:pPr>
    </w:p>
    <w:p w:rsidR="004E7F23" w:rsidRPr="006F2A5C" w:rsidRDefault="004E7F23" w:rsidP="004E7F23">
      <w:pPr>
        <w:jc w:val="both"/>
        <w:rPr>
          <w:b/>
          <w:sz w:val="24"/>
          <w:szCs w:val="24"/>
        </w:rPr>
      </w:pPr>
      <w:r w:rsidRPr="006F2A5C">
        <w:rPr>
          <w:b/>
          <w:sz w:val="24"/>
          <w:szCs w:val="24"/>
        </w:rPr>
        <w:t>4. CERTIFICAZIONI E REQUISITI</w:t>
      </w:r>
    </w:p>
    <w:p w:rsidR="004E7F23" w:rsidRPr="006F2A5C" w:rsidRDefault="004E7F23" w:rsidP="004E7F23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E’ richiesto che il fornitore o l’importatore per i DM sia in grado di produrre il certificato marchio CE</w:t>
      </w:r>
    </w:p>
    <w:p w:rsidR="004E7F23" w:rsidRPr="006F2A5C" w:rsidRDefault="004E7F23" w:rsidP="004E7F23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In alternativa, per le Ditte che intendono usufruire della deroga di cui all’art. 15 del DL 18/2020:</w:t>
      </w:r>
    </w:p>
    <w:p w:rsidR="004E7F23" w:rsidRPr="006F2A5C" w:rsidRDefault="004E7F23" w:rsidP="004E7F23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1. al momento della presentazione dell’offerta : dichiarazione di avere presentato la documentazione all’'Istituto superiore di Sanità (ISS) L, per la pronuncia dell’ ISS circa la rispondenza del DM alle norme vigenti,</w:t>
      </w:r>
    </w:p>
    <w:p w:rsidR="002E07B2" w:rsidRPr="006F2A5C" w:rsidRDefault="004E7F23" w:rsidP="004E7F23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2. entro 3 gg dalla comunicazione di avvenuta aggiudicazione: presentazione della pronuncia dell’ ISS circa la rispondenza del DM alle norme vigenti.</w:t>
      </w:r>
    </w:p>
    <w:p w:rsidR="004E7F23" w:rsidRPr="006F2A5C" w:rsidRDefault="009A0A09" w:rsidP="004E7F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CARATTERISTICHE TECNICHE</w:t>
      </w:r>
    </w:p>
    <w:p w:rsidR="000050EA" w:rsidRDefault="005D26A1" w:rsidP="000050EA">
      <w:pPr>
        <w:jc w:val="both"/>
        <w:rPr>
          <w:sz w:val="20"/>
          <w:szCs w:val="20"/>
        </w:rPr>
      </w:pPr>
      <w:r w:rsidRPr="005D26A1">
        <w:rPr>
          <w:sz w:val="20"/>
          <w:szCs w:val="20"/>
        </w:rPr>
        <w:t>Ogni Ditta partecipante dovrà obbligatoriamente presentare una relazione tecnica di sintesi, nella quale dovranno essere evidenti le specifiche tecniche, le caratteristiche e gli elementi propri di ogni singolo sistema rispetto alle caratteristiche indicate quali requisiti tecnici indispensabili oltre a fornire tutti gli elementi e la documentazione ritenuta utile per effettuare una completa e corretta valutazione dell’offerta tecnica.</w:t>
      </w:r>
      <w:r w:rsidR="00622BE4">
        <w:rPr>
          <w:sz w:val="20"/>
          <w:szCs w:val="20"/>
        </w:rPr>
        <w:t>.</w:t>
      </w:r>
    </w:p>
    <w:p w:rsidR="00547F82" w:rsidRPr="00547F82" w:rsidRDefault="00547F82" w:rsidP="00547F82">
      <w:pPr>
        <w:spacing w:after="0"/>
        <w:jc w:val="both"/>
        <w:rPr>
          <w:sz w:val="20"/>
          <w:szCs w:val="20"/>
        </w:rPr>
      </w:pPr>
      <w:r w:rsidRPr="00547F82">
        <w:rPr>
          <w:sz w:val="20"/>
          <w:szCs w:val="20"/>
        </w:rPr>
        <w:t>Gli strumenti forniti dovranno essere “nuovi” di fabbrica e forniti del marchio CE/IVD.</w:t>
      </w:r>
    </w:p>
    <w:p w:rsidR="00547F82" w:rsidRPr="00547F82" w:rsidRDefault="00547F82" w:rsidP="00547F82">
      <w:pPr>
        <w:spacing w:after="0"/>
        <w:jc w:val="both"/>
        <w:rPr>
          <w:sz w:val="20"/>
          <w:szCs w:val="20"/>
        </w:rPr>
      </w:pPr>
      <w:r w:rsidRPr="00547F82">
        <w:rPr>
          <w:sz w:val="20"/>
          <w:szCs w:val="20"/>
        </w:rPr>
        <w:t>Tutte le caratteristiche descritte nella Tabella A devono essere esplicitamente dichiarate.</w:t>
      </w:r>
    </w:p>
    <w:p w:rsidR="00547F82" w:rsidRDefault="00547F82" w:rsidP="00547F82">
      <w:pPr>
        <w:jc w:val="both"/>
        <w:rPr>
          <w:sz w:val="20"/>
          <w:szCs w:val="20"/>
        </w:rPr>
      </w:pPr>
      <w:r w:rsidRPr="00547F82">
        <w:rPr>
          <w:sz w:val="20"/>
          <w:szCs w:val="20"/>
        </w:rPr>
        <w:t>Tutte le suddette caratteristiche sono da ritenersi indispensabili ed essenziali pena esclusione dalla procedura.</w:t>
      </w:r>
    </w:p>
    <w:p w:rsidR="00622BE4" w:rsidRPr="006F2A5C" w:rsidRDefault="00622BE4" w:rsidP="000050EA">
      <w:pPr>
        <w:jc w:val="both"/>
        <w:rPr>
          <w:sz w:val="20"/>
          <w:szCs w:val="20"/>
        </w:rPr>
      </w:pPr>
      <w:r>
        <w:rPr>
          <w:sz w:val="20"/>
          <w:szCs w:val="20"/>
        </w:rPr>
        <w:t>REQUISITI MINIMI</w:t>
      </w:r>
    </w:p>
    <w:p w:rsidR="00461BD9" w:rsidRPr="00461BD9" w:rsidRDefault="00461BD9" w:rsidP="00461BD9">
      <w:pPr>
        <w:jc w:val="both"/>
        <w:rPr>
          <w:sz w:val="20"/>
          <w:szCs w:val="20"/>
        </w:rPr>
      </w:pPr>
      <w:r w:rsidRPr="00461BD9">
        <w:rPr>
          <w:sz w:val="20"/>
          <w:szCs w:val="20"/>
        </w:rPr>
        <w:t>1. Sistemi automatici per la rilevazione della presenza di antigeni di SARS CoV 2 mediante metodiche in immunofluorescenza  o equivalenti a partire da campioni di tampone rino-faringeo, oro-faringeo e nasale</w:t>
      </w:r>
    </w:p>
    <w:p w:rsidR="00461BD9" w:rsidRPr="00461BD9" w:rsidRDefault="00461BD9" w:rsidP="00461BD9">
      <w:pPr>
        <w:jc w:val="both"/>
        <w:rPr>
          <w:sz w:val="20"/>
          <w:szCs w:val="20"/>
        </w:rPr>
      </w:pPr>
      <w:r w:rsidRPr="00461BD9">
        <w:rPr>
          <w:sz w:val="20"/>
          <w:szCs w:val="20"/>
        </w:rPr>
        <w:t>2. Gli strumenti proposti possono essere sia POCT che strumenti allocabili in laboratorio</w:t>
      </w:r>
    </w:p>
    <w:p w:rsidR="00461BD9" w:rsidRPr="00461BD9" w:rsidRDefault="00461BD9" w:rsidP="00461BD9">
      <w:pPr>
        <w:jc w:val="both"/>
        <w:rPr>
          <w:sz w:val="20"/>
          <w:szCs w:val="20"/>
        </w:rPr>
      </w:pPr>
      <w:r w:rsidRPr="00461BD9">
        <w:rPr>
          <w:sz w:val="20"/>
          <w:szCs w:val="20"/>
        </w:rPr>
        <w:t xml:space="preserve">3. Kit provvisto di soluzione di  trasporto (provetta con buffer) inattivante il virus  </w:t>
      </w:r>
    </w:p>
    <w:p w:rsidR="00461BD9" w:rsidRPr="00461BD9" w:rsidRDefault="00461BD9" w:rsidP="00461BD9">
      <w:pPr>
        <w:jc w:val="both"/>
        <w:rPr>
          <w:sz w:val="20"/>
          <w:szCs w:val="20"/>
        </w:rPr>
      </w:pPr>
      <w:r w:rsidRPr="00461BD9">
        <w:rPr>
          <w:sz w:val="20"/>
          <w:szCs w:val="20"/>
        </w:rPr>
        <w:t xml:space="preserve">4. Identificazione del campione e tracciabilità, mediante lettura automatica del codice a barre </w:t>
      </w:r>
    </w:p>
    <w:p w:rsidR="00461BD9" w:rsidRPr="00461BD9" w:rsidRDefault="00461BD9" w:rsidP="00461BD9">
      <w:pPr>
        <w:jc w:val="both"/>
        <w:rPr>
          <w:sz w:val="20"/>
          <w:szCs w:val="20"/>
        </w:rPr>
      </w:pPr>
      <w:r w:rsidRPr="00461BD9">
        <w:rPr>
          <w:sz w:val="20"/>
          <w:szCs w:val="20"/>
        </w:rPr>
        <w:t>5. Marchio CE-IVD</w:t>
      </w:r>
    </w:p>
    <w:p w:rsidR="00461BD9" w:rsidRPr="00461BD9" w:rsidRDefault="00461BD9" w:rsidP="00461BD9">
      <w:pPr>
        <w:jc w:val="both"/>
        <w:rPr>
          <w:sz w:val="20"/>
          <w:szCs w:val="20"/>
        </w:rPr>
      </w:pPr>
      <w:r w:rsidRPr="00461BD9">
        <w:rPr>
          <w:sz w:val="20"/>
          <w:szCs w:val="20"/>
        </w:rPr>
        <w:t>6. Strumenti collegabili al LIS di laboratorio</w:t>
      </w:r>
    </w:p>
    <w:p w:rsidR="00461BD9" w:rsidRPr="00461BD9" w:rsidRDefault="00461BD9" w:rsidP="00461BD9">
      <w:pPr>
        <w:jc w:val="both"/>
        <w:rPr>
          <w:sz w:val="20"/>
          <w:szCs w:val="20"/>
        </w:rPr>
      </w:pPr>
      <w:r w:rsidRPr="00461BD9">
        <w:rPr>
          <w:sz w:val="20"/>
          <w:szCs w:val="20"/>
        </w:rPr>
        <w:t>7.Tempo di esecuzione uguale o inferiore a 20’  (esibire documentazione)</w:t>
      </w:r>
    </w:p>
    <w:p w:rsidR="00461BD9" w:rsidRPr="00461BD9" w:rsidRDefault="00461BD9" w:rsidP="00461BD9">
      <w:pPr>
        <w:jc w:val="both"/>
        <w:rPr>
          <w:sz w:val="20"/>
          <w:szCs w:val="20"/>
        </w:rPr>
      </w:pPr>
      <w:r w:rsidRPr="00461BD9">
        <w:rPr>
          <w:sz w:val="20"/>
          <w:szCs w:val="20"/>
        </w:rPr>
        <w:t>8.Sensibilità e specificità comprese tra l’85% ed il 100% (esibire documentazione)</w:t>
      </w:r>
    </w:p>
    <w:p w:rsidR="004B52AD" w:rsidRDefault="00461BD9" w:rsidP="00461BD9">
      <w:pPr>
        <w:jc w:val="both"/>
        <w:rPr>
          <w:sz w:val="20"/>
          <w:szCs w:val="20"/>
        </w:rPr>
      </w:pPr>
      <w:r w:rsidRPr="00461BD9">
        <w:rPr>
          <w:sz w:val="20"/>
          <w:szCs w:val="20"/>
        </w:rPr>
        <w:lastRenderedPageBreak/>
        <w:t>9.L’avvenuta validazione dei test da parte di laboratori qualificati o agenzie regolat</w:t>
      </w:r>
      <w:r>
        <w:rPr>
          <w:sz w:val="20"/>
          <w:szCs w:val="20"/>
        </w:rPr>
        <w:t>rici</w:t>
      </w:r>
      <w:r w:rsidRPr="00461BD9">
        <w:rPr>
          <w:sz w:val="20"/>
          <w:szCs w:val="20"/>
        </w:rPr>
        <w:t xml:space="preserve"> operanti a livello nazionale o internazionale</w:t>
      </w: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"/>
        <w:gridCol w:w="468"/>
        <w:gridCol w:w="5580"/>
        <w:gridCol w:w="2565"/>
        <w:gridCol w:w="1006"/>
        <w:gridCol w:w="29"/>
      </w:tblGrid>
      <w:tr w:rsidR="00924307" w:rsidRPr="00924307" w:rsidTr="00924307">
        <w:trPr>
          <w:gridBefore w:val="1"/>
          <w:gridAfter w:val="1"/>
          <w:wBefore w:w="34" w:type="dxa"/>
          <w:wAfter w:w="29" w:type="dxa"/>
        </w:trPr>
        <w:tc>
          <w:tcPr>
            <w:tcW w:w="9619" w:type="dxa"/>
            <w:gridSpan w:val="4"/>
            <w:shd w:val="clear" w:color="auto" w:fill="auto"/>
          </w:tcPr>
          <w:p w:rsidR="00924307" w:rsidRPr="00924307" w:rsidRDefault="00F75850" w:rsidP="00924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REQUISITI</w:t>
            </w:r>
            <w:r w:rsidR="00924307" w:rsidRPr="00924307">
              <w:rPr>
                <w:sz w:val="20"/>
                <w:szCs w:val="20"/>
              </w:rPr>
              <w:t xml:space="preserve"> A PUNTEGGIO</w:t>
            </w:r>
          </w:p>
        </w:tc>
      </w:tr>
      <w:tr w:rsidR="00924307" w:rsidRPr="00924307" w:rsidTr="0092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952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 xml:space="preserve">Caratteristiche tecniche preferenziali </w:t>
            </w:r>
            <w:r w:rsidRPr="00924307">
              <w:rPr>
                <w:sz w:val="20"/>
                <w:szCs w:val="20"/>
              </w:rPr>
              <w:tab/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Criteri di valutazione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Massimo punteggio assegnabile</w:t>
            </w:r>
          </w:p>
        </w:tc>
      </w:tr>
      <w:tr w:rsidR="00924307" w:rsidRPr="00924307" w:rsidTr="0092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Limit of detection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Proporzionale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15</w:t>
            </w:r>
          </w:p>
        </w:tc>
      </w:tr>
      <w:tr w:rsidR="00924307" w:rsidRPr="00924307" w:rsidTr="0092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Buffer riutilizzabile anche per ricerca dell’RNA di SARS CoV 2 con metodiche molecolari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 si = 1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 no =  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 xml:space="preserve">      15</w:t>
            </w:r>
          </w:p>
        </w:tc>
      </w:tr>
      <w:tr w:rsidR="00924307" w:rsidRPr="00924307" w:rsidTr="0092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 xml:space="preserve">Quantificazione dei valori di fluorescenza emessi dallo strumento, in relazione all’eventuale  reazione antigene /anticorpo (pur in assenza di una  standardizzazione a livello Internazionale)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 si = 1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 no =  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 xml:space="preserve">      10</w:t>
            </w:r>
          </w:p>
        </w:tc>
      </w:tr>
      <w:tr w:rsidR="00924307" w:rsidRPr="00924307" w:rsidTr="0092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 xml:space="preserve">    Tempo di esecuzione del test (da start a risposta e comunque, uguale od inferiore a 20 min, valutando il test più celere con il punteggio migliore) 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 ≤ 8 min= 1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se≤ 9-12 min = 0,75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se≤ 13-15 min = 0,50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se≤ 16-18 min = 0,25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se≤ 19-20 min = 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5</w:t>
            </w:r>
          </w:p>
        </w:tc>
      </w:tr>
      <w:tr w:rsidR="00924307" w:rsidRPr="00924307" w:rsidTr="0092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Kit di raccolta provvisto di tampone “floccato”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 si = 1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Se no =  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5</w:t>
            </w:r>
          </w:p>
        </w:tc>
      </w:tr>
      <w:tr w:rsidR="00924307" w:rsidRPr="00924307" w:rsidTr="0092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Test eseguibili/strumento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1= 0,10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2=0,25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 xml:space="preserve">        3= 0,50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 xml:space="preserve">   4 = 0,75</w:t>
            </w:r>
          </w:p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 xml:space="preserve"> ≥5 = 1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20</w:t>
            </w:r>
          </w:p>
        </w:tc>
      </w:tr>
      <w:tr w:rsidR="00924307" w:rsidRPr="00924307" w:rsidTr="0092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PUNTEGGIO TOTALE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307" w:rsidRPr="00924307" w:rsidRDefault="00924307" w:rsidP="00924307">
            <w:pPr>
              <w:jc w:val="both"/>
              <w:rPr>
                <w:sz w:val="20"/>
                <w:szCs w:val="20"/>
              </w:rPr>
            </w:pPr>
            <w:r w:rsidRPr="00924307">
              <w:rPr>
                <w:sz w:val="20"/>
                <w:szCs w:val="20"/>
              </w:rPr>
              <w:t>70</w:t>
            </w:r>
          </w:p>
        </w:tc>
      </w:tr>
    </w:tbl>
    <w:p w:rsidR="00620A55" w:rsidRPr="00620A55" w:rsidRDefault="00620A55" w:rsidP="00620A55">
      <w:pPr>
        <w:jc w:val="both"/>
        <w:rPr>
          <w:sz w:val="20"/>
          <w:szCs w:val="20"/>
        </w:rPr>
      </w:pPr>
      <w:r w:rsidRPr="00620A55">
        <w:rPr>
          <w:sz w:val="20"/>
          <w:szCs w:val="20"/>
        </w:rPr>
        <w:t>Il sistema diagnostico deve corrispondere alle esigenze del Laboratorio e deve comprendere:</w:t>
      </w:r>
    </w:p>
    <w:p w:rsidR="00620A55" w:rsidRPr="00620A55" w:rsidRDefault="00620A55" w:rsidP="00620A55">
      <w:pPr>
        <w:jc w:val="both"/>
        <w:rPr>
          <w:sz w:val="20"/>
          <w:szCs w:val="20"/>
        </w:rPr>
      </w:pPr>
      <w:r w:rsidRPr="00620A55">
        <w:rPr>
          <w:sz w:val="20"/>
          <w:szCs w:val="20"/>
        </w:rPr>
        <w:t>1.</w:t>
      </w:r>
      <w:r w:rsidRPr="00620A55">
        <w:rPr>
          <w:sz w:val="20"/>
          <w:szCs w:val="20"/>
        </w:rPr>
        <w:tab/>
        <w:t>Fornitura in uso delle apparecchiature dedicate e del relativo servizio di assistenza: l’assistenza dovrà essere garantita entro le 24 ore dalla chiamata e dovrà essere inoltre garantita anche nei giorni prefestivi; inoltre deve essere assicurato anche il controllo dell’attività operativ</w:t>
      </w:r>
      <w:r>
        <w:rPr>
          <w:sz w:val="20"/>
          <w:szCs w:val="20"/>
        </w:rPr>
        <w:t xml:space="preserve">a dello strumento da “remoto”. </w:t>
      </w:r>
      <w:r w:rsidRPr="00620A55">
        <w:rPr>
          <w:sz w:val="20"/>
          <w:szCs w:val="20"/>
        </w:rPr>
        <w:t xml:space="preserve">L’apparecchiatura dovrà essere corredata di tutti gli accessori necessari al suo buon funzionamento  </w:t>
      </w:r>
    </w:p>
    <w:p w:rsidR="00620A55" w:rsidRPr="00620A55" w:rsidRDefault="00620A55" w:rsidP="00620A55">
      <w:pPr>
        <w:jc w:val="both"/>
        <w:rPr>
          <w:sz w:val="20"/>
          <w:szCs w:val="20"/>
        </w:rPr>
      </w:pPr>
      <w:r w:rsidRPr="00620A55">
        <w:rPr>
          <w:sz w:val="20"/>
          <w:szCs w:val="20"/>
        </w:rPr>
        <w:t>2.</w:t>
      </w:r>
      <w:r w:rsidRPr="00620A55">
        <w:rPr>
          <w:sz w:val="20"/>
          <w:szCs w:val="20"/>
        </w:rPr>
        <w:tab/>
        <w:t xml:space="preserve">La richiesta dei diagnostici deve essere evasa dalla Ditta aggiudicataria entro il minor tempo possibile e, comunque, non oltre i 5 giorni dalla richiesta medesima. </w:t>
      </w:r>
    </w:p>
    <w:p w:rsidR="00924307" w:rsidRDefault="00620A55" w:rsidP="00620A55">
      <w:pPr>
        <w:jc w:val="both"/>
        <w:rPr>
          <w:sz w:val="20"/>
          <w:szCs w:val="20"/>
        </w:rPr>
      </w:pPr>
      <w:r w:rsidRPr="00620A55">
        <w:rPr>
          <w:sz w:val="20"/>
          <w:szCs w:val="20"/>
        </w:rPr>
        <w:lastRenderedPageBreak/>
        <w:t>3.</w:t>
      </w:r>
      <w:r w:rsidRPr="00620A55">
        <w:rPr>
          <w:sz w:val="20"/>
          <w:szCs w:val="20"/>
        </w:rPr>
        <w:tab/>
        <w:t>La Ditta aggiudicataria dovrà garantire la quantità di strumenti e reagenti richiesti, pena l’esclusione dalla graduatoria ed il pagamento di una penale.</w:t>
      </w:r>
    </w:p>
    <w:p w:rsidR="00BE36DB" w:rsidRPr="006F2A5C" w:rsidRDefault="00BE36DB" w:rsidP="00BE36DB">
      <w:pPr>
        <w:jc w:val="both"/>
        <w:rPr>
          <w:b/>
          <w:sz w:val="24"/>
          <w:szCs w:val="24"/>
        </w:rPr>
      </w:pPr>
      <w:r w:rsidRPr="006F2A5C">
        <w:rPr>
          <w:b/>
          <w:sz w:val="24"/>
          <w:szCs w:val="24"/>
        </w:rPr>
        <w:t>6 SERVIZI CONNESSI</w:t>
      </w:r>
    </w:p>
    <w:p w:rsidR="00BE36DB" w:rsidRPr="006F2A5C" w:rsidRDefault="00BE36DB" w:rsidP="00BE36DB">
      <w:pPr>
        <w:jc w:val="both"/>
        <w:rPr>
          <w:b/>
          <w:sz w:val="20"/>
          <w:szCs w:val="20"/>
        </w:rPr>
      </w:pPr>
      <w:r w:rsidRPr="006F2A5C">
        <w:rPr>
          <w:b/>
          <w:sz w:val="20"/>
          <w:szCs w:val="20"/>
        </w:rPr>
        <w:t>6.1 CONSEGNA</w:t>
      </w:r>
    </w:p>
    <w:p w:rsidR="00BE36DB" w:rsidRPr="006F2A5C" w:rsidRDefault="00BE36DB" w:rsidP="00BE36DB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Il fornitore sarà tenuto a consegnare i dispositivi nei luoghi e nei locali indicati dalla ASL entro le tempistiche dichiarate in Offerta, pena l’applicazione delle penali di cui allo Schema di Accordo Quadro.</w:t>
      </w:r>
    </w:p>
    <w:p w:rsidR="00BE36DB" w:rsidRPr="006F2A5C" w:rsidRDefault="00BE36DB" w:rsidP="00BE36DB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Le attività di consegna si intendono comprensive di ogni relativo onere e spesa, ivi compresi a titolo meramente esemplificativo e non esaustivo, quelli di imbal</w:t>
      </w:r>
      <w:r w:rsidR="00E270F1" w:rsidRPr="006F2A5C">
        <w:rPr>
          <w:sz w:val="20"/>
          <w:szCs w:val="20"/>
        </w:rPr>
        <w:t xml:space="preserve">laggio, trasporto, facchinaggio. </w:t>
      </w:r>
      <w:r w:rsidRPr="006F2A5C">
        <w:rPr>
          <w:sz w:val="20"/>
          <w:szCs w:val="20"/>
        </w:rPr>
        <w:t xml:space="preserve">Le operazioni di carico e scarico della merce sono a carico del Fornitore Aggiudicatario che, pertanto, dovrà essere dotato di tutte le attrezzature necessarie per svolgere tale attività. Tutte </w:t>
      </w:r>
      <w:r w:rsidR="00E270F1" w:rsidRPr="006F2A5C">
        <w:rPr>
          <w:sz w:val="20"/>
          <w:szCs w:val="20"/>
        </w:rPr>
        <w:t>i dispositivi</w:t>
      </w:r>
      <w:r w:rsidRPr="006F2A5C">
        <w:rPr>
          <w:sz w:val="20"/>
          <w:szCs w:val="20"/>
        </w:rPr>
        <w:t xml:space="preserve"> dovranno essere confezionati in modo tale da garantire la corretta conservazione anche durante le fasi di trasporto.</w:t>
      </w:r>
    </w:p>
    <w:p w:rsidR="00BE36DB" w:rsidRPr="006F2A5C" w:rsidRDefault="00BE36DB" w:rsidP="00BE36DB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Qualora la struttura sanitaria beneficiaria della fornitura non fosse disponibile a far eseguire la consegna alla data indicata, sarà sua cura contattare il Fornitore, concordando e formalizzando una nuova data valida per entrambi.</w:t>
      </w:r>
    </w:p>
    <w:p w:rsidR="00BE36DB" w:rsidRPr="006F2A5C" w:rsidRDefault="00BE36DB" w:rsidP="00BE36DB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In caso di mancato rispetto della data di consegna così come riprogrammata, al Fornitore verranno applicate le penali di cui allo Schema di Accordo Quadro.</w:t>
      </w:r>
    </w:p>
    <w:p w:rsidR="00CC7017" w:rsidRPr="006F2A5C" w:rsidRDefault="00CC7017" w:rsidP="00CC7017">
      <w:pPr>
        <w:jc w:val="both"/>
        <w:rPr>
          <w:b/>
          <w:sz w:val="24"/>
          <w:szCs w:val="24"/>
        </w:rPr>
      </w:pPr>
      <w:r w:rsidRPr="006F2A5C">
        <w:rPr>
          <w:b/>
          <w:sz w:val="24"/>
          <w:szCs w:val="24"/>
        </w:rPr>
        <w:t>7. FATTURAZIONE E PAGAMENTI</w:t>
      </w:r>
    </w:p>
    <w:p w:rsidR="00CC7017" w:rsidRPr="006F2A5C" w:rsidRDefault="00CC7017" w:rsidP="00CC7017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Il pagamento dei corrispettivi sarà effettuato dalla ASL in favore del Fornitore sulla base delle fatture emesse da quest’ultimo.</w:t>
      </w:r>
    </w:p>
    <w:p w:rsidR="00CC7017" w:rsidRPr="006F2A5C" w:rsidRDefault="00CC7017" w:rsidP="00CC7017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A titolo esemplificativo e non esaustivo, ciascuna fattura dovrà essere intestata e spedita alla ASL fruitrice e contenere il riferimento:</w:t>
      </w:r>
    </w:p>
    <w:p w:rsidR="00CC7017" w:rsidRPr="006F2A5C" w:rsidRDefault="00CC7017" w:rsidP="00CC7017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all’Accordo Quadro;</w:t>
      </w:r>
    </w:p>
    <w:p w:rsidR="00CC7017" w:rsidRPr="006F2A5C" w:rsidRDefault="00CC7017" w:rsidP="00CC7017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all’Ordine di Fornitura;</w:t>
      </w:r>
    </w:p>
    <w:p w:rsidR="00CC7017" w:rsidRPr="006F2A5C" w:rsidRDefault="00CC7017" w:rsidP="00CC7017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alla Data di Accettazione della Fornitura;</w:t>
      </w:r>
    </w:p>
    <w:p w:rsidR="00CC7017" w:rsidRPr="006F2A5C" w:rsidRDefault="00CC7017" w:rsidP="00CC7017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al conto corrente, che dovrà operare nel rispetto della Legge 13 agosto 2010 n. 136 e s.m.i. ove accreditare i corrispettivi previsti.</w:t>
      </w:r>
    </w:p>
    <w:p w:rsidR="00E270F1" w:rsidRPr="006F2A5C" w:rsidRDefault="00CC7017" w:rsidP="00CC7017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L’importo delle predette fatture verrà corrisposto dalla ASL. secondo la normativa vigente in materia di Contabilità dello Stato e, comunque, nei termini espressamente previsti nell’Accordo Quadro.</w:t>
      </w:r>
    </w:p>
    <w:p w:rsidR="00CC7017" w:rsidRPr="006F2A5C" w:rsidRDefault="006F2A5C" w:rsidP="00CC7017">
      <w:pPr>
        <w:jc w:val="both"/>
        <w:rPr>
          <w:b/>
          <w:sz w:val="24"/>
          <w:szCs w:val="24"/>
        </w:rPr>
      </w:pPr>
      <w:r w:rsidRPr="006F2A5C">
        <w:rPr>
          <w:b/>
          <w:sz w:val="24"/>
          <w:szCs w:val="24"/>
        </w:rPr>
        <w:t>8</w:t>
      </w:r>
      <w:r w:rsidR="00CC7017" w:rsidRPr="006F2A5C">
        <w:rPr>
          <w:b/>
          <w:sz w:val="24"/>
          <w:szCs w:val="24"/>
        </w:rPr>
        <w:t>. GESTIONE DELLE CONTESTAZIONI.</w:t>
      </w:r>
    </w:p>
    <w:p w:rsidR="00CC7017" w:rsidRPr="006F2A5C" w:rsidRDefault="00CC7017" w:rsidP="00CC7017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Qualora lo ritenga opportuno, le Strutture Sanitarie beneficiarie potranno segnalare (ad esempio a tramite email o PEC) al Fornitore, le carenze riscontrate relative ai prodotti/servizi resi.</w:t>
      </w:r>
    </w:p>
    <w:p w:rsidR="00CC7017" w:rsidRPr="006F2A5C" w:rsidRDefault="00CC7017" w:rsidP="00CC7017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Nella contestazione del reclamo al Fornitore le Amministrazioni dovranno indicare almeno i seguenti elementi:</w:t>
      </w:r>
    </w:p>
    <w:p w:rsidR="00CC7017" w:rsidRPr="006F2A5C" w:rsidRDefault="00CC7017" w:rsidP="00CC7017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nominativo del referente e punti di contatto (es: telefono, fax, email);</w:t>
      </w:r>
    </w:p>
    <w:p w:rsidR="00CC7017" w:rsidRPr="006F2A5C" w:rsidRDefault="00CC7017" w:rsidP="00CC7017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tipologia del dispositivo, data dell’ordine;</w:t>
      </w:r>
    </w:p>
    <w:p w:rsidR="00CC7017" w:rsidRPr="006F2A5C" w:rsidRDefault="00CC7017" w:rsidP="00CC7017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oggetto del reclamo.</w:t>
      </w:r>
    </w:p>
    <w:p w:rsidR="00CC7017" w:rsidRPr="006F2A5C" w:rsidRDefault="00CC7017" w:rsidP="00CC7017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La mancata segnalazione dei dati sopra elencati solleva il Fornitore dall’obbligo di risposta previsto, in quanto non forniti gli elementi minimi necessari per l’analisi del problema segnalato.</w:t>
      </w:r>
    </w:p>
    <w:p w:rsidR="00CC7017" w:rsidRPr="006F2A5C" w:rsidRDefault="00CC7017" w:rsidP="00CC7017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La chiusura con soluzione del reclamo da parte del Fornitore deve avvenire entro 5 (cinque) giorni lavorativi a partire dalla data di ricezione del fax o della email di notifica.</w:t>
      </w:r>
    </w:p>
    <w:p w:rsidR="00CC7017" w:rsidRPr="006F2A5C" w:rsidRDefault="00CC7017" w:rsidP="00CC7017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lastRenderedPageBreak/>
        <w:t>Il Fornitore aggiudicatario dell’Accordo Quadro, avrà l’obbligo di rispondere nei tempi stabiliti ai reclami inviati dalle Amministrazioni.</w:t>
      </w:r>
    </w:p>
    <w:p w:rsidR="00CC7017" w:rsidRPr="006F2A5C" w:rsidRDefault="00CC7017" w:rsidP="00CC7017">
      <w:pPr>
        <w:jc w:val="both"/>
        <w:rPr>
          <w:sz w:val="20"/>
          <w:szCs w:val="20"/>
        </w:rPr>
      </w:pPr>
      <w:r w:rsidRPr="006F2A5C">
        <w:rPr>
          <w:sz w:val="20"/>
          <w:szCs w:val="20"/>
        </w:rPr>
        <w:t>Nel caso in cui dovesse avvenire la mancata soluzione del reclamo entro i 5 (cinque) giorni lavorativi stabiliti o la chiusura con soluzione del reclamo dopo i 5 (cinque) giorni lavorativi previsti, la ASL applicherà le penali di cui allo Schema di Accordo Quadro.</w:t>
      </w:r>
    </w:p>
    <w:sectPr w:rsidR="00CC7017" w:rsidRPr="006F2A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3781"/>
    <w:multiLevelType w:val="hybridMultilevel"/>
    <w:tmpl w:val="2D104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24789"/>
    <w:multiLevelType w:val="hybridMultilevel"/>
    <w:tmpl w:val="C43CC586"/>
    <w:lvl w:ilvl="0" w:tplc="D02A95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04B7E"/>
    <w:multiLevelType w:val="hybridMultilevel"/>
    <w:tmpl w:val="BA469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7C"/>
    <w:rsid w:val="000050EA"/>
    <w:rsid w:val="001167A0"/>
    <w:rsid w:val="001A1162"/>
    <w:rsid w:val="00237A1B"/>
    <w:rsid w:val="002E07B2"/>
    <w:rsid w:val="003256BB"/>
    <w:rsid w:val="0032751B"/>
    <w:rsid w:val="003E53CC"/>
    <w:rsid w:val="00461BD9"/>
    <w:rsid w:val="004A48F8"/>
    <w:rsid w:val="004B52AD"/>
    <w:rsid w:val="004E7F23"/>
    <w:rsid w:val="00547F82"/>
    <w:rsid w:val="0056379F"/>
    <w:rsid w:val="005D26A1"/>
    <w:rsid w:val="00620A55"/>
    <w:rsid w:val="00622BE4"/>
    <w:rsid w:val="006B2C41"/>
    <w:rsid w:val="006F2A5C"/>
    <w:rsid w:val="006F48C8"/>
    <w:rsid w:val="00722034"/>
    <w:rsid w:val="007236FF"/>
    <w:rsid w:val="00783D49"/>
    <w:rsid w:val="00836029"/>
    <w:rsid w:val="008405DD"/>
    <w:rsid w:val="00924307"/>
    <w:rsid w:val="00936172"/>
    <w:rsid w:val="009A0A09"/>
    <w:rsid w:val="009E6552"/>
    <w:rsid w:val="00AA28F1"/>
    <w:rsid w:val="00AD1F33"/>
    <w:rsid w:val="00B1458F"/>
    <w:rsid w:val="00B96938"/>
    <w:rsid w:val="00BE36DB"/>
    <w:rsid w:val="00C1546F"/>
    <w:rsid w:val="00C82316"/>
    <w:rsid w:val="00C935BB"/>
    <w:rsid w:val="00CC7017"/>
    <w:rsid w:val="00DF500D"/>
    <w:rsid w:val="00DF717D"/>
    <w:rsid w:val="00DF77A1"/>
    <w:rsid w:val="00E2197C"/>
    <w:rsid w:val="00E270F1"/>
    <w:rsid w:val="00E52C15"/>
    <w:rsid w:val="00E53BBE"/>
    <w:rsid w:val="00E74A05"/>
    <w:rsid w:val="00EB139D"/>
    <w:rsid w:val="00F7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07B2"/>
    <w:pPr>
      <w:ind w:left="720"/>
      <w:contextualSpacing/>
    </w:pPr>
  </w:style>
  <w:style w:type="paragraph" w:customStyle="1" w:styleId="Default">
    <w:name w:val="Default"/>
    <w:rsid w:val="004E7F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07B2"/>
    <w:pPr>
      <w:ind w:left="720"/>
      <w:contextualSpacing/>
    </w:pPr>
  </w:style>
  <w:style w:type="paragraph" w:customStyle="1" w:styleId="Default">
    <w:name w:val="Default"/>
    <w:rsid w:val="004E7F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C3F4-7024-446B-92FC-7F86E6D0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Pescara</Company>
  <LinksUpToDate>false</LinksUpToDate>
  <CharactersWithSpaces>13069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Quirino Cipolla</dc:creator>
  <cp:lastModifiedBy>PAOLO</cp:lastModifiedBy>
  <cp:revision>11</cp:revision>
  <dcterms:created xsi:type="dcterms:W3CDTF">2020-11-18T09:34:00Z</dcterms:created>
  <dcterms:modified xsi:type="dcterms:W3CDTF">2020-11-19T16:52:00Z</dcterms:modified>
</cp:coreProperties>
</file>