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1ABD9A60" w:rsidR="00A04B59" w:rsidRPr="0001674A" w:rsidRDefault="00F929D9" w:rsidP="005A72FC">
      <w:pPr>
        <w:autoSpaceDE w:val="0"/>
        <w:autoSpaceDN w:val="0"/>
        <w:adjustRightInd w:val="0"/>
        <w:spacing w:after="120" w:line="240" w:lineRule="auto"/>
        <w:jc w:val="center"/>
        <w:rPr>
          <w:rFonts w:ascii="Times New Roman" w:hAnsi="Times New Roman" w:cs="Times New Roman"/>
          <w:sz w:val="22"/>
          <w:szCs w:val="22"/>
        </w:rPr>
      </w:pPr>
      <w:r w:rsidRPr="00D94C56">
        <w:rPr>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6DC36A5F" w14:textId="77777777" w:rsidR="00F929D9" w:rsidRPr="005D76A3"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5D76A3">
        <w:rPr>
          <w:rFonts w:ascii="Garamond" w:hAnsi="Garamond"/>
          <w:b/>
          <w:bCs/>
          <w:szCs w:val="28"/>
        </w:rPr>
        <w:t>Agenzia Regionale dell’Abruzzo per la committenza</w:t>
      </w:r>
    </w:p>
    <w:p w14:paraId="7CD4A0E4" w14:textId="77777777" w:rsidR="00F929D9" w:rsidRDefault="00F929D9" w:rsidP="00F929D9">
      <w:pPr>
        <w:pStyle w:val="Rientrocorpodeltesto"/>
        <w:pBdr>
          <w:bottom w:val="single" w:sz="4" w:space="18" w:color="auto"/>
        </w:pBdr>
        <w:spacing w:before="100" w:line="240" w:lineRule="auto"/>
        <w:ind w:left="851" w:hanging="851"/>
        <w:jc w:val="center"/>
        <w:rPr>
          <w:rFonts w:ascii="Candara" w:hAnsi="Candara"/>
          <w:sz w:val="24"/>
          <w:szCs w:val="24"/>
        </w:rPr>
      </w:pPr>
      <w:bookmarkStart w:id="0" w:name="_Hlk137798093"/>
      <w:bookmarkStart w:id="1" w:name="_Hlk137798094"/>
      <w:bookmarkStart w:id="2" w:name="_Hlk137798380"/>
      <w:bookmarkStart w:id="3" w:name="_Hlk137798381"/>
      <w:r>
        <w:rPr>
          <w:rFonts w:ascii="Candara" w:hAnsi="Candara"/>
          <w:sz w:val="24"/>
          <w:szCs w:val="24"/>
        </w:rPr>
        <w:t>Soggetto Aggregatore della Regione Abruzzo</w:t>
      </w:r>
      <w:bookmarkEnd w:id="0"/>
      <w:bookmarkEnd w:id="1"/>
      <w:bookmarkEnd w:id="2"/>
      <w:bookmarkEnd w:id="3"/>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992BB1" w:rsidRDefault="00C75F87" w:rsidP="00992BB1">
      <w:pPr>
        <w:spacing w:after="120"/>
        <w:jc w:val="both"/>
        <w:rPr>
          <w:rFonts w:ascii="Times New Roman" w:hAnsi="Times New Roman" w:cs="Times New Roman"/>
          <w:sz w:val="24"/>
          <w:szCs w:val="24"/>
        </w:rPr>
      </w:pPr>
    </w:p>
    <w:p w14:paraId="7B57A4F3" w14:textId="5E4BC68C" w:rsidR="00E24B5D" w:rsidRPr="00992BB1" w:rsidRDefault="00992BB1" w:rsidP="00992BB1">
      <w:pPr>
        <w:spacing w:after="120" w:line="360" w:lineRule="auto"/>
        <w:jc w:val="both"/>
        <w:rPr>
          <w:rFonts w:ascii="Times New Roman" w:hAnsi="Times New Roman" w:cs="Times New Roman"/>
          <w:b/>
          <w:sz w:val="24"/>
          <w:szCs w:val="24"/>
        </w:rPr>
      </w:pPr>
      <w:r w:rsidRPr="00992BB1">
        <w:rPr>
          <w:rFonts w:ascii="Times New Roman" w:hAnsi="Times New Roman" w:cs="Times New Roman"/>
          <w:b/>
          <w:sz w:val="24"/>
          <w:szCs w:val="24"/>
        </w:rPr>
        <w:t>Avviso di manifestazione di interesse, per la selezione di operatori economici da invitare a successiva procedura negoziata per la realizzazione di: Interventi di messa in sicurezza territorio area a rischio frana o idraulico, risanamento idrogeologico dell’area compresa fra via Arenazze, via Gran Sasso compreso fosso S. Chiara in destra idrografica di via Colonnetta zona Viadotto, Santa Maria, Via Arenazze - Procedura negoziata ai sensi dell’art</w:t>
      </w:r>
      <w:r w:rsidR="00894EF4">
        <w:rPr>
          <w:rFonts w:ascii="Times New Roman" w:hAnsi="Times New Roman" w:cs="Times New Roman"/>
          <w:b/>
          <w:sz w:val="24"/>
          <w:szCs w:val="24"/>
        </w:rPr>
        <w:t xml:space="preserve">. 50 comma 1 lett. a) del </w:t>
      </w:r>
      <w:proofErr w:type="spellStart"/>
      <w:r w:rsidR="00894EF4">
        <w:rPr>
          <w:rFonts w:ascii="Times New Roman" w:hAnsi="Times New Roman" w:cs="Times New Roman"/>
          <w:b/>
          <w:sz w:val="24"/>
          <w:szCs w:val="24"/>
        </w:rPr>
        <w:t>D.lgs</w:t>
      </w:r>
      <w:proofErr w:type="spellEnd"/>
      <w:r w:rsidR="00894EF4">
        <w:rPr>
          <w:rFonts w:ascii="Times New Roman" w:hAnsi="Times New Roman" w:cs="Times New Roman"/>
          <w:b/>
          <w:sz w:val="24"/>
          <w:szCs w:val="24"/>
        </w:rPr>
        <w:t xml:space="preserve"> 36</w:t>
      </w:r>
      <w:r w:rsidR="000F0A81">
        <w:rPr>
          <w:rFonts w:ascii="Times New Roman" w:hAnsi="Times New Roman" w:cs="Times New Roman"/>
          <w:b/>
          <w:sz w:val="24"/>
          <w:szCs w:val="24"/>
        </w:rPr>
        <w:t>/</w:t>
      </w:r>
      <w:r w:rsidR="00894EF4">
        <w:rPr>
          <w:rFonts w:ascii="Times New Roman" w:hAnsi="Times New Roman" w:cs="Times New Roman"/>
          <w:b/>
          <w:sz w:val="24"/>
          <w:szCs w:val="24"/>
        </w:rPr>
        <w:t>2023</w:t>
      </w:r>
      <w:r w:rsidRPr="00992BB1">
        <w:rPr>
          <w:rFonts w:ascii="Times New Roman" w:hAnsi="Times New Roman" w:cs="Times New Roman"/>
          <w:b/>
          <w:sz w:val="24"/>
          <w:szCs w:val="24"/>
        </w:rPr>
        <w:t xml:space="preserve">  CUP E77H22001210001</w:t>
      </w:r>
      <w:r w:rsidR="00E83BE2">
        <w:rPr>
          <w:rFonts w:ascii="Times New Roman" w:hAnsi="Times New Roman" w:cs="Times New Roman"/>
          <w:b/>
          <w:sz w:val="24"/>
          <w:szCs w:val="24"/>
        </w:rPr>
        <w:t xml:space="preserve"> </w:t>
      </w:r>
      <w:r w:rsidR="00E83BE2" w:rsidRPr="00E83BE2">
        <w:rPr>
          <w:rFonts w:ascii="Times New Roman" w:hAnsi="Times New Roman" w:cs="Times New Roman"/>
          <w:b/>
          <w:sz w:val="24"/>
          <w:szCs w:val="24"/>
        </w:rPr>
        <w:t xml:space="preserve">     CIG A041732D13</w:t>
      </w:r>
    </w:p>
    <w:p w14:paraId="574EB690" w14:textId="1EB75C2B"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2C974973"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992BB1">
        <w:rPr>
          <w:rFonts w:ascii="Times New Roman" w:hAnsi="Times New Roman" w:cs="Times New Roman"/>
          <w:lang w:eastAsia="ar-SA"/>
        </w:rPr>
        <w:t>Chieti</w:t>
      </w:r>
      <w:r w:rsidR="00D12F1C">
        <w:rPr>
          <w:rFonts w:ascii="Times New Roman" w:hAnsi="Times New Roman" w:cs="Times New Roman"/>
          <w:lang w:eastAsia="ar-SA"/>
        </w:rPr>
        <w:t xml:space="preserve"> </w:t>
      </w:r>
      <w:r w:rsidRPr="0001674A">
        <w:rPr>
          <w:rFonts w:ascii="Times New Roman" w:hAnsi="Times New Roman" w:cs="Times New Roman"/>
          <w:lang w:eastAsia="ar-SA"/>
        </w:rPr>
        <w:t>(</w:t>
      </w:r>
      <w:r w:rsidR="00992BB1">
        <w:rPr>
          <w:rFonts w:ascii="Times New Roman" w:hAnsi="Times New Roman" w:cs="Times New Roman"/>
          <w:lang w:eastAsia="ar-SA"/>
        </w:rPr>
        <w:t>CH</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02DE14B2" w14:textId="5D6905F7" w:rsidR="00BD3124" w:rsidRPr="00AA1215" w:rsidRDefault="00C75F87" w:rsidP="00BD3124">
      <w:pPr>
        <w:spacing w:after="120" w:line="360" w:lineRule="auto"/>
        <w:jc w:val="both"/>
        <w:rPr>
          <w:rFonts w:ascii="Times New Roman" w:hAnsi="Times New Roman" w:cs="Times New Roman"/>
          <w:b/>
          <w:bCs/>
          <w:sz w:val="24"/>
          <w:szCs w:val="24"/>
        </w:rPr>
      </w:pPr>
      <w:r w:rsidRPr="00E9539F">
        <w:rPr>
          <w:rFonts w:ascii="Times New Roman" w:hAnsi="Times New Roman" w:cs="Times New Roman"/>
          <w:b/>
          <w:sz w:val="28"/>
        </w:rPr>
        <w:t></w:t>
      </w:r>
      <w:r w:rsidR="00E9539F">
        <w:rPr>
          <w:rFonts w:ascii="Times New Roman" w:hAnsi="Times New Roman" w:cs="Times New Roman"/>
        </w:rPr>
        <w:t xml:space="preserve"> </w:t>
      </w:r>
      <w:r w:rsidR="00992BB1" w:rsidRPr="00DB436C">
        <w:rPr>
          <w:rFonts w:ascii="Garamond" w:hAnsi="Garamond"/>
          <w:b/>
          <w:bCs/>
        </w:rPr>
        <w:t>Interventi di messa in sicurezza territorio area a rischio frana o idraulico, risanamento idrogeologico dell’area compresa fra via Arenazze, via Gran Sasso compreso fosso S. Chiara in destra idrografica di via Colonnetta zona Viadotto, Santa Maria, Via Arenazze</w:t>
      </w:r>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40978F23" w14:textId="3FE4CFC0"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lastRenderedPageBreak/>
        <w:t>che l’Operatore Economico, oltre quanto dichiarato nel DGUE, non incorre nelle cause di esclusione di cui</w:t>
      </w:r>
      <w:r w:rsidR="00894EF4">
        <w:rPr>
          <w:rFonts w:eastAsia="Times New Roman" w:cs="Times New Roman"/>
          <w:lang w:eastAsia="ar-SA"/>
        </w:rPr>
        <w:t xml:space="preserve"> agli artt. 94, 95, 96, 97 e 98 del </w:t>
      </w:r>
      <w:proofErr w:type="spellStart"/>
      <w:r w:rsidR="00894EF4">
        <w:rPr>
          <w:rFonts w:eastAsia="Times New Roman" w:cs="Times New Roman"/>
          <w:lang w:eastAsia="ar-SA"/>
        </w:rPr>
        <w:t>d.lgs</w:t>
      </w:r>
      <w:proofErr w:type="spellEnd"/>
      <w:r w:rsidR="00894EF4">
        <w:rPr>
          <w:rFonts w:eastAsia="Times New Roman" w:cs="Times New Roman"/>
          <w:lang w:eastAsia="ar-SA"/>
        </w:rPr>
        <w:t xml:space="preserve"> 36/2023 (v</w:t>
      </w:r>
      <w:r w:rsidRPr="00E02C3E">
        <w:rPr>
          <w:rFonts w:eastAsia="Times New Roman" w:cs="Times New Roman"/>
          <w:lang w:eastAsia="ar-SA"/>
        </w:rPr>
        <w:t xml:space="preserve">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670BAE70"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 xml:space="preserve">alla presente dichiarazione i dati identificativi (nome, cognome, data e luogo di nascita, codice fiscale, comune di residenza) dei soggetti di cui </w:t>
      </w:r>
      <w:r w:rsidR="00894EF4">
        <w:rPr>
          <w:rFonts w:eastAsia="Times New Roman" w:cs="Times New Roman"/>
          <w:lang w:eastAsia="ar-SA"/>
        </w:rPr>
        <w:t xml:space="preserve">all’art. 94 comma 3 del </w:t>
      </w:r>
      <w:proofErr w:type="spellStart"/>
      <w:r w:rsidR="00894EF4">
        <w:rPr>
          <w:rFonts w:eastAsia="Times New Roman" w:cs="Times New Roman"/>
          <w:lang w:eastAsia="ar-SA"/>
        </w:rPr>
        <w:t>d.lgs</w:t>
      </w:r>
      <w:proofErr w:type="spellEnd"/>
      <w:r w:rsidR="00894EF4">
        <w:rPr>
          <w:rFonts w:eastAsia="Times New Roman" w:cs="Times New Roman"/>
          <w:lang w:eastAsia="ar-SA"/>
        </w:rPr>
        <w:t xml:space="preserve"> 36/2023</w:t>
      </w:r>
      <w:r w:rsidRPr="00E02C3E">
        <w:rPr>
          <w:rFonts w:eastAsia="Times New Roman" w:cs="Times New Roman"/>
          <w:lang w:eastAsia="ar-SA"/>
        </w:rPr>
        <w:t>,</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4"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del DGUE, i seguenti estremi del </w:t>
      </w:r>
      <w:r w:rsidRPr="00E02C3E">
        <w:rPr>
          <w:rFonts w:eastAsia="Times New Roman" w:cs="Times New Roman"/>
          <w:iCs/>
          <w:lang w:eastAsia="ar-SA"/>
        </w:rPr>
        <w:t xml:space="preserve">provvedimento di ammissione al concordato e del provvedimento di </w:t>
      </w:r>
      <w:r w:rsidRPr="00E02C3E">
        <w:rPr>
          <w:rFonts w:eastAsia="Times New Roman" w:cs="Times New Roman"/>
          <w:iCs/>
          <w:lang w:eastAsia="ar-SA"/>
        </w:rPr>
        <w:lastRenderedPageBreak/>
        <w:t>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51311BED"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w:t>
      </w:r>
      <w:r w:rsidR="00894EF4">
        <w:rPr>
          <w:rFonts w:eastAsia="Times New Roman" w:cs="Times New Roman"/>
          <w:lang w:eastAsia="ar-SA"/>
        </w:rPr>
        <w:t>dall’art. 68 comma 1 del Codice</w:t>
      </w:r>
      <w:r w:rsidRPr="00E02C3E">
        <w:rPr>
          <w:rFonts w:eastAsia="Times New Roman" w:cs="Times New Roman"/>
          <w:lang w:eastAsia="ar-SA"/>
        </w:rPr>
        <w:t xml:space="preserve">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w:t>
      </w:r>
      <w:proofErr w:type="spellStart"/>
      <w:r w:rsidRPr="00E02C3E">
        <w:rPr>
          <w:rFonts w:eastAsia="Times New Roman" w:cs="Times New Roman"/>
          <w:lang w:eastAsia="ar-SA"/>
        </w:rPr>
        <w:t>d.l.</w:t>
      </w:r>
      <w:proofErr w:type="spellEnd"/>
      <w:r w:rsidRPr="00E02C3E">
        <w:rPr>
          <w:rFonts w:eastAsia="Times New Roman" w:cs="Times New Roman"/>
          <w:lang w:eastAsia="ar-SA"/>
        </w:rPr>
        <w:t xml:space="preserve">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w:t>
      </w:r>
      <w:proofErr w:type="gramStart"/>
      <w:r w:rsidRPr="00E02C3E">
        <w:rPr>
          <w:rFonts w:eastAsia="Times New Roman" w:cs="Times New Roman"/>
        </w:rPr>
        <w:t>cartaceo)/</w:t>
      </w:r>
      <w:proofErr w:type="gramEnd"/>
      <w:r w:rsidRPr="00E02C3E">
        <w:rPr>
          <w:rFonts w:eastAsia="Times New Roman" w:cs="Times New Roman"/>
        </w:rPr>
        <w:t>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autenticata ovvero per atto firmato digitalmente a norma dell’art. 25 del d.lgs. 82/2005 con </w:t>
      </w:r>
      <w:r w:rsidRPr="00E02C3E">
        <w:rPr>
          <w:rFonts w:eastAsia="Times New Roman" w:cs="Times New Roman"/>
          <w:b/>
          <w:lang w:eastAsia="ar-SA"/>
        </w:rPr>
        <w:lastRenderedPageBreak/>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4"/>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71B6413D" w14:textId="13671FF6"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w:t>
      </w:r>
      <w:r w:rsidR="00595C7A">
        <w:rPr>
          <w:rFonts w:eastAsia="Times New Roman" w:cs="Times New Roman"/>
        </w:rPr>
        <w:t>o previsto dall’art. 124 del Codice;</w:t>
      </w:r>
      <w:r w:rsidRPr="00E02C3E">
        <w:rPr>
          <w:rFonts w:eastAsia="Times New Roman" w:cs="Times New Roman"/>
        </w:rPr>
        <w:t xml:space="preserve"> </w:t>
      </w:r>
      <w:r w:rsidR="00595C7A">
        <w:rPr>
          <w:rFonts w:eastAsia="Times New Roman" w:cs="Times New Roman"/>
        </w:rPr>
        <w:t xml:space="preserve">a </w:t>
      </w:r>
      <w:r w:rsidRPr="00E02C3E">
        <w:rPr>
          <w:rFonts w:eastAsia="Times New Roman" w:cs="Times New Roman"/>
        </w:rPr>
        <w:t>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w:t>
      </w:r>
      <w:proofErr w:type="gramStart"/>
      <w:r w:rsidRPr="00E02C3E">
        <w:rPr>
          <w:rFonts w:eastAsia="Times New Roman" w:cs="Times New Roman"/>
        </w:rPr>
        <w:t>46  del</w:t>
      </w:r>
      <w:proofErr w:type="gramEnd"/>
      <w:r w:rsidRPr="00E02C3E">
        <w:rPr>
          <w:rFonts w:eastAsia="Times New Roman" w:cs="Times New Roman"/>
        </w:rPr>
        <w:t xml:space="preserve">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 xml:space="preserve">di trovarsi rispetto ad un altro partecipante alla medesima procedura di affidamento, in una situazione di controllo di cui all'articolo 2359 del </w:t>
      </w:r>
      <w:proofErr w:type="gramStart"/>
      <w:r w:rsidRPr="00E02C3E">
        <w:rPr>
          <w:rFonts w:eastAsia="Times New Roman" w:cs="Times New Roman"/>
          <w:lang w:eastAsia="ar-SA"/>
        </w:rPr>
        <w:t>codice civile</w:t>
      </w:r>
      <w:proofErr w:type="gramEnd"/>
      <w:r w:rsidRPr="00E02C3E">
        <w:rPr>
          <w:rFonts w:eastAsia="Times New Roman" w:cs="Times New Roman"/>
          <w:lang w:eastAsia="ar-SA"/>
        </w:rPr>
        <w:t xml:space="preserv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13E8D6FB"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w:t>
      </w:r>
      <w:r w:rsidR="00595C7A">
        <w:rPr>
          <w:rFonts w:eastAsia="Times New Roman" w:cs="Times New Roman"/>
          <w:lang w:eastAsia="ar-SA"/>
        </w:rPr>
        <w:t xml:space="preserve"> di cui all’art. 104 del </w:t>
      </w:r>
      <w:proofErr w:type="spellStart"/>
      <w:r w:rsidR="00595C7A">
        <w:rPr>
          <w:rFonts w:eastAsia="Times New Roman" w:cs="Times New Roman"/>
          <w:lang w:eastAsia="ar-SA"/>
        </w:rPr>
        <w:t>d.lgs</w:t>
      </w:r>
      <w:proofErr w:type="spellEnd"/>
      <w:r w:rsidR="00595C7A">
        <w:rPr>
          <w:rFonts w:eastAsia="Times New Roman" w:cs="Times New Roman"/>
          <w:lang w:eastAsia="ar-SA"/>
        </w:rPr>
        <w:t xml:space="preserve"> 36/2023</w:t>
      </w:r>
      <w:r w:rsidRPr="00E02C3E">
        <w:rPr>
          <w:rFonts w:eastAsia="Times New Roman" w:cs="Times New Roman"/>
          <w:lang w:eastAsia="ar-SA"/>
        </w:rPr>
        <w:t xml:space="preserve">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 xml:space="preserve">indicando, quale ausiliaria </w:t>
      </w:r>
      <w:proofErr w:type="gramStart"/>
      <w:r w:rsidRPr="00E02C3E">
        <w:rPr>
          <w:rFonts w:eastAsia="Times New Roman" w:cs="Times New Roman"/>
          <w:lang w:eastAsia="ar-SA"/>
        </w:rPr>
        <w:t>…….</w:t>
      </w:r>
      <w:proofErr w:type="gramEnd"/>
      <w:r w:rsidRPr="00E02C3E">
        <w:rPr>
          <w:rFonts w:eastAsia="Times New Roman" w:cs="Times New Roman"/>
          <w:lang w:eastAsia="ar-SA"/>
        </w:rPr>
        <w:t xml:space="preserve">………………………………………………;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lastRenderedPageBreak/>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xml:space="preserve"> data di scadenza della validità triennale (con relativa verifica qualora presente) e </w:t>
      </w:r>
      <w:proofErr w:type="gramStart"/>
      <w:r w:rsidRPr="00E02C3E">
        <w:rPr>
          <w:rFonts w:eastAsia="Times New Roman" w:cs="Times New Roman"/>
          <w:lang w:eastAsia="ar-SA"/>
        </w:rPr>
        <w:t>quinquennale:...........</w:t>
      </w:r>
      <w:proofErr w:type="gramEnd"/>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54D68F4D" w14:textId="4FB29DE4"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 xml:space="preserve">ALLEGATO </w:t>
      </w:r>
      <w:r w:rsidR="000F0A81">
        <w:rPr>
          <w:rFonts w:ascii="Times New Roman" w:eastAsia="Times New Roman" w:hAnsi="Times New Roman" w:cs="Times New Roman"/>
          <w:b/>
          <w:sz w:val="22"/>
          <w:szCs w:val="22"/>
        </w:rPr>
        <w:t>C</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42EA" w14:textId="77777777" w:rsidR="00546374" w:rsidRDefault="00546374">
      <w:r>
        <w:separator/>
      </w:r>
    </w:p>
  </w:endnote>
  <w:endnote w:type="continuationSeparator" w:id="0">
    <w:p w14:paraId="47860555" w14:textId="77777777" w:rsidR="00546374" w:rsidRDefault="00546374">
      <w:r>
        <w:continuationSeparator/>
      </w:r>
    </w:p>
  </w:endnote>
  <w:endnote w:type="continuationNotice" w:id="1">
    <w:p w14:paraId="15F8E021" w14:textId="77777777" w:rsidR="00546374" w:rsidRDefault="00546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E263" w14:textId="77777777" w:rsidR="00546374" w:rsidRDefault="00546374">
      <w:r>
        <w:separator/>
      </w:r>
    </w:p>
  </w:footnote>
  <w:footnote w:type="continuationSeparator" w:id="0">
    <w:p w14:paraId="27A9F29C" w14:textId="77777777" w:rsidR="00546374" w:rsidRDefault="00546374">
      <w:r>
        <w:continuationSeparator/>
      </w:r>
    </w:p>
  </w:footnote>
  <w:footnote w:type="continuationNotice" w:id="1">
    <w:p w14:paraId="7D279EFF" w14:textId="77777777" w:rsidR="00546374" w:rsidRDefault="00546374"/>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0A81"/>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5DC7"/>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374"/>
    <w:rsid w:val="00546D11"/>
    <w:rsid w:val="005502CD"/>
    <w:rsid w:val="00552B58"/>
    <w:rsid w:val="00553B54"/>
    <w:rsid w:val="0057247A"/>
    <w:rsid w:val="00572A32"/>
    <w:rsid w:val="00577741"/>
    <w:rsid w:val="005876B5"/>
    <w:rsid w:val="005929CF"/>
    <w:rsid w:val="00593965"/>
    <w:rsid w:val="005944BC"/>
    <w:rsid w:val="0059597F"/>
    <w:rsid w:val="00595C7A"/>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3FA5"/>
    <w:rsid w:val="006251EA"/>
    <w:rsid w:val="006335A3"/>
    <w:rsid w:val="00633927"/>
    <w:rsid w:val="006366C2"/>
    <w:rsid w:val="006372A8"/>
    <w:rsid w:val="00640308"/>
    <w:rsid w:val="0064110A"/>
    <w:rsid w:val="00641737"/>
    <w:rsid w:val="00644166"/>
    <w:rsid w:val="006447DB"/>
    <w:rsid w:val="0064570D"/>
    <w:rsid w:val="00646A14"/>
    <w:rsid w:val="00646A83"/>
    <w:rsid w:val="0064737F"/>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4EF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33A7"/>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2BB1"/>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16F0"/>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3BE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8A7"/>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unhideWhenUsed/>
    <w:rsid w:val="004D1ACE"/>
  </w:style>
  <w:style w:type="character" w:customStyle="1" w:styleId="TestocommentoCarattere">
    <w:name w:val="Testo commento Carattere"/>
    <w:basedOn w:val="Carpredefinitoparagrafo"/>
    <w:link w:val="Testocommento"/>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719084722">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3114</Words>
  <Characters>17755</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58</cp:revision>
  <cp:lastPrinted>2020-12-11T15:00:00Z</cp:lastPrinted>
  <dcterms:created xsi:type="dcterms:W3CDTF">2022-02-07T11:54:00Z</dcterms:created>
  <dcterms:modified xsi:type="dcterms:W3CDTF">2023-12-20T11:49:00Z</dcterms:modified>
</cp:coreProperties>
</file>